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ml1wm7k2ka0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The Fiduciary Institute Agency Standards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Best Practices for Fiduciary Firms and Organizations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Governance &amp; Compliance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Maintain written policies and procedures aligned with The Fiduciary Institute Standards of Practice and Ethics.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Ensure compliance with all relevant federal and state laws, including licensing and bonding requirements where applicable.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Case Management &amp; Oversight</w:t>
      </w:r>
    </w:p>
    <w:p w:rsidR="00000000" w:rsidDel="00000000" w:rsidP="00000000" w:rsidRDefault="00000000" w:rsidRPr="00000000" w14:paraId="00000007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Establish caseload limits to ensure quality of service.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 regular internal audits and supervisory review.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Financial Management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Segregate client funds from business operating accounts.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Employ sound accounting practices, including independent audits where appropriate.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Risk Management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Maintain adequate insurance coverage (professional liability, fidelity bond, etc.).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a succession and continuity plan to protect clients in case of practitioner incapacity or business closure.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Staffing &amp; Professional Development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Hire qualified staff and provide ongoing training.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Encourage certification and continuing education.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Client Communication &amp; Advocacy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Ensure timely and accessible communication with clients, families, and courts.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Uphold client rights, self-determination, and person-centered planning wherever possible.</w:t>
      </w:r>
    </w:p>
    <w:p w:rsidR="00000000" w:rsidDel="00000000" w:rsidP="00000000" w:rsidRDefault="00000000" w:rsidRPr="00000000" w14:paraId="00000015">
      <w:pPr>
        <w:ind w:left="360" w:right="36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ind w:left="0" w:firstLine="0"/>
      <w:rPr/>
    </w:pPr>
    <w:r w:rsidDel="00000000" w:rsidR="00000000" w:rsidRPr="00000000">
      <w:rPr>
        <w:rFonts w:ascii="Times New Roman" w:cs="Times New Roman" w:eastAsia="Times New Roman" w:hAnsi="Times New Roman"/>
        <w:i w:val="1"/>
        <w:rtl w:val="0"/>
      </w:rPr>
      <w:t xml:space="preserve">The Fiduciary Institute | Guiding Fiduciaries to Excellence</w:t>
      <w:tab/>
    </w:r>
    <w:r w:rsidDel="00000000" w:rsidR="00000000" w:rsidRPr="00000000">
      <w:rPr>
        <w:i w:val="1"/>
        <w:rtl w:val="0"/>
      </w:rPr>
      <w:tab/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2762250</wp:posOffset>
          </wp:positionH>
          <wp:positionV relativeFrom="page">
            <wp:posOffset>-266699</wp:posOffset>
          </wp:positionV>
          <wp:extent cx="2245848" cy="15049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5848" cy="15049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